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7F" w:rsidRPr="00017A8B" w:rsidRDefault="00BB447F" w:rsidP="00BB447F">
      <w:pPr>
        <w:jc w:val="center"/>
        <w:rPr>
          <w:rFonts w:ascii="Verdana" w:hAnsi="Verdana"/>
        </w:rPr>
      </w:pPr>
      <w:r w:rsidRPr="00017A8B">
        <w:rPr>
          <w:rFonts w:ascii="Verdana" w:hAnsi="Verdana"/>
        </w:rPr>
        <w:t xml:space="preserve">Statement of Consideration (SOC) </w:t>
      </w:r>
    </w:p>
    <w:p w:rsidR="00BB447F" w:rsidRPr="00017A8B" w:rsidRDefault="00BB447F" w:rsidP="00BB447F">
      <w:pPr>
        <w:jc w:val="center"/>
        <w:rPr>
          <w:rFonts w:ascii="Verdana" w:hAnsi="Verdana"/>
        </w:rPr>
      </w:pPr>
      <w:r w:rsidRPr="00017A8B">
        <w:rPr>
          <w:rFonts w:ascii="Verdana" w:hAnsi="Verdana"/>
        </w:rPr>
        <w:t>PPTL 19-XX SOP 4.11.1, SOP 4.26, SOP 4.26.3</w:t>
      </w:r>
      <w:r w:rsidR="00F74CA2" w:rsidRPr="00017A8B">
        <w:rPr>
          <w:rFonts w:ascii="Verdana" w:hAnsi="Verdana"/>
        </w:rPr>
        <w:t>, DCBS</w:t>
      </w:r>
      <w:r w:rsidRPr="00017A8B">
        <w:rPr>
          <w:rFonts w:ascii="Verdana" w:hAnsi="Verdana"/>
        </w:rPr>
        <w:t xml:space="preserve"> Behavioral Health Referral Form </w:t>
      </w:r>
      <w:r w:rsidR="00F74CA2" w:rsidRPr="00017A8B">
        <w:rPr>
          <w:rFonts w:ascii="Verdana" w:hAnsi="Verdana"/>
        </w:rPr>
        <w:t xml:space="preserve">and Screeners </w:t>
      </w:r>
    </w:p>
    <w:p w:rsidR="00BB447F" w:rsidRPr="00017A8B" w:rsidRDefault="00BB447F" w:rsidP="00BB447F">
      <w:pPr>
        <w:tabs>
          <w:tab w:val="left" w:pos="0"/>
        </w:tabs>
        <w:spacing w:line="240" w:lineRule="auto"/>
        <w:rPr>
          <w:rFonts w:ascii="Verdana" w:hAnsi="Verdana" w:cs="Arial"/>
        </w:rPr>
      </w:pPr>
      <w:r w:rsidRPr="00017A8B">
        <w:rPr>
          <w:rFonts w:ascii="Verdana" w:hAnsi="Verdana" w:cs="Arial"/>
        </w:rPr>
        <w:t>The following comments were received in response to SOP drafts sent for field review.  Thanks to those who reviewed and commented.  Comments about typographical and grammatical errors are excluded; these errors have been corrected as appropriate.</w:t>
      </w:r>
    </w:p>
    <w:p w:rsidR="00BB447F" w:rsidRPr="00017A8B" w:rsidRDefault="00BB447F" w:rsidP="00BB447F">
      <w:pPr>
        <w:tabs>
          <w:tab w:val="left" w:pos="0"/>
        </w:tabs>
        <w:spacing w:line="240" w:lineRule="auto"/>
        <w:rPr>
          <w:rFonts w:ascii="Verdana" w:hAnsi="Verdana" w:cs="Arial"/>
          <w:b/>
        </w:rPr>
      </w:pPr>
      <w:r w:rsidRPr="00017A8B">
        <w:rPr>
          <w:rFonts w:ascii="Verdana" w:hAnsi="Verdana" w:cs="Arial"/>
          <w:b/>
        </w:rPr>
        <w:t xml:space="preserve">SOP </w:t>
      </w:r>
      <w:r w:rsidR="00F74CA2" w:rsidRPr="00017A8B">
        <w:rPr>
          <w:rFonts w:ascii="Verdana" w:hAnsi="Verdana" w:cs="Arial"/>
          <w:b/>
        </w:rPr>
        <w:t>4.11.1</w:t>
      </w:r>
      <w:r w:rsidRPr="00017A8B">
        <w:rPr>
          <w:rFonts w:ascii="Verdana" w:hAnsi="Verdana" w:cs="Arial"/>
          <w:b/>
        </w:rPr>
        <w:t xml:space="preserve"> </w:t>
      </w:r>
    </w:p>
    <w:p w:rsidR="00F74CA2" w:rsidRPr="00017A8B" w:rsidRDefault="00BB447F" w:rsidP="00F74CA2">
      <w:pPr>
        <w:pStyle w:val="ListParagraph"/>
        <w:numPr>
          <w:ilvl w:val="0"/>
          <w:numId w:val="1"/>
        </w:numPr>
        <w:tabs>
          <w:tab w:val="left" w:pos="0"/>
        </w:tabs>
        <w:rPr>
          <w:rFonts w:ascii="Verdana" w:hAnsi="Verdana" w:cs="Arial"/>
        </w:rPr>
      </w:pPr>
      <w:r w:rsidRPr="00017A8B">
        <w:rPr>
          <w:rFonts w:ascii="Verdana" w:hAnsi="Verdana" w:cs="Arial"/>
          <w:b/>
        </w:rPr>
        <w:t>Comment:</w:t>
      </w:r>
      <w:r w:rsidRPr="00017A8B">
        <w:rPr>
          <w:rFonts w:ascii="Verdana" w:hAnsi="Verdana" w:cs="Arial"/>
        </w:rPr>
        <w:t xml:space="preserve">    </w:t>
      </w:r>
      <w:r w:rsidR="00F74CA2" w:rsidRPr="00017A8B">
        <w:rPr>
          <w:rFonts w:ascii="Verdana" w:hAnsi="Verdana" w:cs="Arial"/>
        </w:rPr>
        <w:t>We are glad the timeframe changed from 5 working days to 10 working days as the screeners are required to be sent to CRP for the level and staff have 10 working days to complete them. Under Practice Guidance – the last bullet point should indicate 10 working days vs. 10 days.</w:t>
      </w:r>
    </w:p>
    <w:p w:rsidR="00BB447F" w:rsidRPr="00017A8B" w:rsidRDefault="00BB447F" w:rsidP="00F74CA2">
      <w:pPr>
        <w:pStyle w:val="ListParagraph"/>
        <w:tabs>
          <w:tab w:val="left" w:pos="0"/>
        </w:tabs>
        <w:rPr>
          <w:rFonts w:ascii="Verdana" w:hAnsi="Verdana" w:cs="Arial"/>
        </w:rPr>
      </w:pPr>
    </w:p>
    <w:p w:rsidR="00BB447F" w:rsidRPr="00017A8B" w:rsidRDefault="00BB447F" w:rsidP="00F74CA2">
      <w:pPr>
        <w:pStyle w:val="ListParagraph"/>
        <w:tabs>
          <w:tab w:val="left" w:pos="0"/>
        </w:tabs>
        <w:spacing w:line="240" w:lineRule="auto"/>
        <w:rPr>
          <w:rFonts w:ascii="Verdana" w:hAnsi="Verdana" w:cs="Arial"/>
          <w:b/>
        </w:rPr>
      </w:pPr>
      <w:r w:rsidRPr="00017A8B">
        <w:rPr>
          <w:rFonts w:ascii="Verdana" w:hAnsi="Verdana" w:cs="Arial"/>
          <w:b/>
        </w:rPr>
        <w:t xml:space="preserve">Response: </w:t>
      </w:r>
      <w:r w:rsidR="00941E63" w:rsidRPr="00017A8B">
        <w:rPr>
          <w:rFonts w:ascii="Verdana" w:hAnsi="Verdana" w:cs="Arial"/>
        </w:rPr>
        <w:t>Change is complete to indicate 10 working days</w:t>
      </w:r>
      <w:r w:rsidR="00941E63" w:rsidRPr="00017A8B">
        <w:rPr>
          <w:rFonts w:ascii="Verdana" w:hAnsi="Verdana" w:cs="Arial"/>
          <w:b/>
        </w:rPr>
        <w:t xml:space="preserve">.  </w:t>
      </w:r>
    </w:p>
    <w:p w:rsidR="00F74CA2" w:rsidRPr="00017A8B" w:rsidRDefault="00F74CA2" w:rsidP="00F74CA2">
      <w:pPr>
        <w:pStyle w:val="ListParagraph"/>
        <w:tabs>
          <w:tab w:val="left" w:pos="0"/>
        </w:tabs>
        <w:spacing w:line="240" w:lineRule="auto"/>
        <w:rPr>
          <w:rFonts w:ascii="Verdana" w:hAnsi="Verdana" w:cs="Arial"/>
          <w:b/>
        </w:rPr>
      </w:pPr>
    </w:p>
    <w:p w:rsidR="00F74CA2" w:rsidRPr="00017A8B" w:rsidRDefault="00BB447F" w:rsidP="00F74CA2">
      <w:pPr>
        <w:pStyle w:val="ListParagraph"/>
        <w:numPr>
          <w:ilvl w:val="0"/>
          <w:numId w:val="1"/>
        </w:numPr>
        <w:tabs>
          <w:tab w:val="left" w:pos="0"/>
        </w:tabs>
        <w:spacing w:line="240" w:lineRule="auto"/>
        <w:rPr>
          <w:rFonts w:ascii="Verdana" w:hAnsi="Verdana" w:cs="Arial"/>
          <w:b/>
        </w:rPr>
      </w:pPr>
      <w:r w:rsidRPr="00017A8B">
        <w:rPr>
          <w:rFonts w:ascii="Verdana" w:hAnsi="Verdana" w:cs="Arial"/>
          <w:b/>
        </w:rPr>
        <w:t xml:space="preserve">Comment:  </w:t>
      </w:r>
      <w:r w:rsidR="00F74CA2" w:rsidRPr="00017A8B">
        <w:rPr>
          <w:rFonts w:ascii="Verdana" w:hAnsi="Verdana" w:cs="Arial"/>
        </w:rPr>
        <w:t>Currently, children placed in a DCBS home do not receive a LOC.  Will this change with SOP 4.11.1?</w:t>
      </w:r>
      <w:r w:rsidR="00F74CA2" w:rsidRPr="00017A8B">
        <w:rPr>
          <w:rFonts w:ascii="Verdana" w:hAnsi="Verdana" w:cs="Arial"/>
          <w:b/>
        </w:rPr>
        <w:t xml:space="preserve">  </w:t>
      </w:r>
    </w:p>
    <w:p w:rsidR="00F74CA2" w:rsidRPr="00017A8B" w:rsidRDefault="00F74CA2" w:rsidP="00F74CA2">
      <w:pPr>
        <w:pStyle w:val="ListParagraph"/>
        <w:tabs>
          <w:tab w:val="left" w:pos="0"/>
        </w:tabs>
        <w:spacing w:line="240" w:lineRule="auto"/>
        <w:rPr>
          <w:rFonts w:ascii="Verdana" w:hAnsi="Verdana" w:cs="Arial"/>
          <w:b/>
        </w:rPr>
      </w:pPr>
    </w:p>
    <w:p w:rsidR="00BB447F" w:rsidRPr="00017A8B" w:rsidRDefault="00BB447F" w:rsidP="00017A8B">
      <w:pPr>
        <w:pStyle w:val="ListParagraph"/>
        <w:tabs>
          <w:tab w:val="left" w:pos="0"/>
        </w:tabs>
        <w:spacing w:line="240" w:lineRule="auto"/>
        <w:rPr>
          <w:rFonts w:ascii="Verdana" w:hAnsi="Verdana" w:cs="Arial"/>
          <w:b/>
        </w:rPr>
      </w:pPr>
      <w:r w:rsidRPr="00017A8B">
        <w:rPr>
          <w:rFonts w:ascii="Verdana" w:hAnsi="Verdana" w:cs="Arial"/>
          <w:b/>
        </w:rPr>
        <w:t xml:space="preserve">Response:  </w:t>
      </w:r>
      <w:r w:rsidR="00941E63" w:rsidRPr="00017A8B">
        <w:rPr>
          <w:rFonts w:ascii="Verdana" w:hAnsi="Verdana" w:cs="Arial"/>
        </w:rPr>
        <w:t>Children placed in DCBS homes will not receive a LOC.  No change is made.</w:t>
      </w:r>
      <w:r w:rsidR="00941E63" w:rsidRPr="00017A8B">
        <w:rPr>
          <w:rFonts w:ascii="Verdana" w:hAnsi="Verdana" w:cs="Arial"/>
          <w:b/>
        </w:rPr>
        <w:t xml:space="preserve">  </w:t>
      </w:r>
    </w:p>
    <w:p w:rsidR="00017A8B" w:rsidRPr="00017A8B" w:rsidRDefault="00017A8B" w:rsidP="00017A8B">
      <w:pPr>
        <w:pStyle w:val="ListParagraph"/>
        <w:tabs>
          <w:tab w:val="left" w:pos="0"/>
        </w:tabs>
        <w:spacing w:line="240" w:lineRule="auto"/>
        <w:rPr>
          <w:rFonts w:ascii="Verdana" w:hAnsi="Verdana" w:cs="Arial"/>
          <w:b/>
        </w:rPr>
      </w:pPr>
    </w:p>
    <w:p w:rsidR="00BB447F" w:rsidRPr="00017A8B" w:rsidRDefault="00F74CA2" w:rsidP="00BB447F">
      <w:pPr>
        <w:pStyle w:val="ListParagraph"/>
        <w:tabs>
          <w:tab w:val="left" w:pos="0"/>
        </w:tabs>
        <w:spacing w:line="240" w:lineRule="auto"/>
        <w:ind w:left="0"/>
        <w:rPr>
          <w:rFonts w:ascii="Verdana" w:hAnsi="Verdana" w:cs="Arial"/>
          <w:b/>
        </w:rPr>
      </w:pPr>
      <w:r w:rsidRPr="00017A8B">
        <w:rPr>
          <w:rFonts w:ascii="Verdana" w:hAnsi="Verdana" w:cs="Arial"/>
          <w:b/>
        </w:rPr>
        <w:t>SOP 4.26</w:t>
      </w:r>
    </w:p>
    <w:p w:rsidR="00BB447F" w:rsidRPr="00017A8B" w:rsidRDefault="00BB447F" w:rsidP="00BB447F">
      <w:pPr>
        <w:pStyle w:val="ListParagraph"/>
        <w:tabs>
          <w:tab w:val="left" w:pos="0"/>
        </w:tabs>
        <w:spacing w:line="240" w:lineRule="auto"/>
        <w:ind w:left="0"/>
        <w:rPr>
          <w:rFonts w:ascii="Verdana" w:hAnsi="Verdana" w:cs="Arial"/>
          <w:b/>
        </w:rPr>
      </w:pPr>
    </w:p>
    <w:p w:rsidR="00F74CA2" w:rsidRPr="00017A8B" w:rsidRDefault="00BB447F" w:rsidP="00F74CA2">
      <w:pPr>
        <w:pStyle w:val="ListParagraph"/>
        <w:numPr>
          <w:ilvl w:val="0"/>
          <w:numId w:val="2"/>
        </w:numPr>
        <w:tabs>
          <w:tab w:val="left" w:pos="0"/>
        </w:tabs>
        <w:spacing w:line="240" w:lineRule="auto"/>
        <w:rPr>
          <w:rFonts w:ascii="Verdana" w:hAnsi="Verdana" w:cs="Arial"/>
        </w:rPr>
      </w:pPr>
      <w:r w:rsidRPr="00017A8B">
        <w:rPr>
          <w:rFonts w:ascii="Verdana" w:hAnsi="Verdana" w:cs="Arial"/>
          <w:b/>
        </w:rPr>
        <w:t xml:space="preserve">Comment:  </w:t>
      </w:r>
      <w:r w:rsidR="00F74CA2" w:rsidRPr="00017A8B">
        <w:rPr>
          <w:rFonts w:ascii="Verdana" w:hAnsi="Verdana" w:cs="Arial"/>
        </w:rPr>
        <w:t>NO COMMENTS</w:t>
      </w:r>
      <w:r w:rsidR="00F74CA2" w:rsidRPr="00017A8B">
        <w:rPr>
          <w:rFonts w:ascii="Verdana" w:hAnsi="Verdana" w:cs="Arial"/>
          <w:b/>
        </w:rPr>
        <w:t xml:space="preserve"> </w:t>
      </w:r>
    </w:p>
    <w:p w:rsidR="00017A8B" w:rsidRPr="00017A8B" w:rsidRDefault="00017A8B" w:rsidP="00017A8B">
      <w:pPr>
        <w:pStyle w:val="ListParagraph"/>
        <w:tabs>
          <w:tab w:val="left" w:pos="0"/>
        </w:tabs>
        <w:spacing w:line="240" w:lineRule="auto"/>
        <w:rPr>
          <w:rFonts w:ascii="Verdana" w:hAnsi="Verdana" w:cs="Arial"/>
        </w:rPr>
      </w:pPr>
    </w:p>
    <w:p w:rsidR="00F74CA2" w:rsidRPr="00017A8B" w:rsidRDefault="00F74CA2" w:rsidP="00F74CA2">
      <w:pPr>
        <w:rPr>
          <w:rFonts w:ascii="Verdana" w:hAnsi="Verdana"/>
          <w:b/>
        </w:rPr>
      </w:pPr>
      <w:r w:rsidRPr="00017A8B">
        <w:rPr>
          <w:rFonts w:ascii="Verdana" w:hAnsi="Verdana"/>
          <w:b/>
        </w:rPr>
        <w:t xml:space="preserve">SOP 4.26.3 </w:t>
      </w:r>
    </w:p>
    <w:p w:rsidR="00017A8B" w:rsidRPr="00017A8B" w:rsidRDefault="00F74CA2" w:rsidP="00017A8B">
      <w:pPr>
        <w:pStyle w:val="ListParagraph"/>
        <w:numPr>
          <w:ilvl w:val="0"/>
          <w:numId w:val="3"/>
        </w:numPr>
        <w:rPr>
          <w:rFonts w:ascii="Verdana" w:hAnsi="Verdana"/>
        </w:rPr>
      </w:pPr>
      <w:r w:rsidRPr="00017A8B">
        <w:rPr>
          <w:rFonts w:ascii="Verdana" w:hAnsi="Verdana"/>
          <w:b/>
        </w:rPr>
        <w:t>Comment</w:t>
      </w:r>
      <w:r w:rsidRPr="00017A8B">
        <w:rPr>
          <w:rFonts w:ascii="Verdana" w:hAnsi="Verdana"/>
        </w:rPr>
        <w:t xml:space="preserve">:  Section 4D- Staff feel that it will be difficult to complete a new screener every time a 14 day notice is given and sometimes this is due to no fault of the child which may not change the result of the screener. While we understand the purpose of rescreening for the 3 identified reasons how will this be tracked? Staff and FSOS’s are not going to remember to rescreen for these reasons if there isn’t something that populates like a tickler or something to remind them. Our staff feel it would be more effective to rescreen children that haven’t screened in previously at the 6 month timeframe when they are assessing progress and developing a new a case plan. </w:t>
      </w:r>
    </w:p>
    <w:p w:rsidR="00F74CA2" w:rsidRPr="00017A8B" w:rsidRDefault="00F74CA2" w:rsidP="00F74CA2">
      <w:pPr>
        <w:ind w:left="720"/>
        <w:rPr>
          <w:rFonts w:ascii="Verdana" w:hAnsi="Verdana"/>
          <w:b/>
        </w:rPr>
      </w:pPr>
      <w:r w:rsidRPr="00017A8B">
        <w:rPr>
          <w:rFonts w:ascii="Verdana" w:hAnsi="Verdana"/>
          <w:b/>
        </w:rPr>
        <w:t xml:space="preserve">Response: </w:t>
      </w:r>
      <w:r w:rsidR="00941E63" w:rsidRPr="00017A8B">
        <w:rPr>
          <w:rFonts w:ascii="Verdana" w:hAnsi="Verdana"/>
        </w:rPr>
        <w:t>Chang</w:t>
      </w:r>
      <w:r w:rsidR="000512D3" w:rsidRPr="00017A8B">
        <w:rPr>
          <w:rFonts w:ascii="Verdana" w:hAnsi="Verdana"/>
        </w:rPr>
        <w:t>e is complete to clarify</w:t>
      </w:r>
      <w:r w:rsidR="00017A8B" w:rsidRPr="00017A8B">
        <w:rPr>
          <w:rFonts w:ascii="Verdana" w:hAnsi="Verdana"/>
        </w:rPr>
        <w:t xml:space="preserve"> # 4</w:t>
      </w:r>
      <w:r w:rsidR="007C545B">
        <w:rPr>
          <w:rFonts w:ascii="Verdana" w:hAnsi="Verdana"/>
        </w:rPr>
        <w:t xml:space="preserve"> D</w:t>
      </w:r>
      <w:bookmarkStart w:id="0" w:name="_GoBack"/>
      <w:bookmarkEnd w:id="0"/>
      <w:r w:rsidR="00017A8B" w:rsidRPr="00017A8B">
        <w:rPr>
          <w:rFonts w:ascii="Verdana" w:hAnsi="Verdana"/>
        </w:rPr>
        <w:t>.</w:t>
      </w:r>
      <w:r w:rsidR="00017A8B" w:rsidRPr="00017A8B">
        <w:rPr>
          <w:rFonts w:ascii="Verdana" w:hAnsi="Verdana"/>
          <w:b/>
        </w:rPr>
        <w:t xml:space="preserve"> </w:t>
      </w:r>
      <w:r w:rsidR="000512D3" w:rsidRPr="00017A8B">
        <w:rPr>
          <w:rFonts w:ascii="Verdana" w:hAnsi="Verdana"/>
          <w:b/>
        </w:rPr>
        <w:t xml:space="preserve">  </w:t>
      </w:r>
    </w:p>
    <w:p w:rsidR="00017A8B" w:rsidRPr="00017A8B" w:rsidRDefault="00017A8B" w:rsidP="00017A8B">
      <w:pPr>
        <w:spacing w:before="100" w:beforeAutospacing="1" w:after="100" w:afterAutospacing="1" w:line="240" w:lineRule="auto"/>
        <w:ind w:left="1080"/>
        <w:rPr>
          <w:rFonts w:ascii="Verdana" w:eastAsia="Times New Roman" w:hAnsi="Verdana" w:cs="Times New Roman"/>
        </w:rPr>
      </w:pPr>
      <w:r w:rsidRPr="00017A8B">
        <w:rPr>
          <w:rFonts w:ascii="Verdana" w:eastAsia="Times New Roman" w:hAnsi="Verdana" w:cs="Times New Roman"/>
          <w:bCs/>
        </w:rPr>
        <w:t>D. Screens a child within ten (10) calendar days if any of the following occurs:  </w:t>
      </w:r>
    </w:p>
    <w:p w:rsidR="00017A8B" w:rsidRPr="00017A8B" w:rsidRDefault="00017A8B" w:rsidP="00017A8B">
      <w:pPr>
        <w:numPr>
          <w:ilvl w:val="2"/>
          <w:numId w:val="6"/>
        </w:numPr>
        <w:spacing w:before="100" w:beforeAutospacing="1" w:after="100" w:afterAutospacing="1" w:line="240" w:lineRule="auto"/>
        <w:rPr>
          <w:rFonts w:ascii="Verdana" w:eastAsia="Times New Roman" w:hAnsi="Verdana" w:cs="Times New Roman"/>
        </w:rPr>
      </w:pPr>
      <w:r w:rsidRPr="00017A8B">
        <w:rPr>
          <w:rFonts w:ascii="Verdana" w:eastAsia="Times New Roman" w:hAnsi="Verdana" w:cs="Times New Roman"/>
          <w:bCs/>
        </w:rPr>
        <w:t>Child did not screen in previously and:</w:t>
      </w:r>
    </w:p>
    <w:p w:rsidR="00017A8B" w:rsidRPr="00017A8B" w:rsidRDefault="00017A8B" w:rsidP="00017A8B">
      <w:pPr>
        <w:numPr>
          <w:ilvl w:val="3"/>
          <w:numId w:val="6"/>
        </w:numPr>
        <w:spacing w:before="100" w:beforeAutospacing="1" w:after="100" w:afterAutospacing="1" w:line="240" w:lineRule="auto"/>
        <w:rPr>
          <w:rFonts w:ascii="Verdana" w:eastAsia="Times New Roman" w:hAnsi="Verdana" w:cs="Times New Roman"/>
        </w:rPr>
      </w:pPr>
      <w:r w:rsidRPr="00017A8B">
        <w:rPr>
          <w:rFonts w:ascii="Verdana" w:eastAsia="Times New Roman" w:hAnsi="Verdana" w:cs="Times New Roman"/>
          <w:bCs/>
        </w:rPr>
        <w:t>Fourteen (14) day notice has been issued for a placement change;  </w:t>
      </w:r>
    </w:p>
    <w:p w:rsidR="00017A8B" w:rsidRPr="00017A8B" w:rsidRDefault="00017A8B" w:rsidP="00017A8B">
      <w:pPr>
        <w:numPr>
          <w:ilvl w:val="3"/>
          <w:numId w:val="6"/>
        </w:numPr>
        <w:spacing w:before="100" w:beforeAutospacing="1" w:after="100" w:afterAutospacing="1" w:line="240" w:lineRule="auto"/>
        <w:rPr>
          <w:rFonts w:ascii="Verdana" w:eastAsia="Times New Roman" w:hAnsi="Verdana" w:cs="Times New Roman"/>
        </w:rPr>
      </w:pPr>
      <w:r w:rsidRPr="00017A8B">
        <w:rPr>
          <w:rFonts w:ascii="Verdana" w:eastAsia="Times New Roman" w:hAnsi="Verdana" w:cs="Times New Roman"/>
          <w:bCs/>
        </w:rPr>
        <w:t>A new incident of maltreatment is received; or</w:t>
      </w:r>
    </w:p>
    <w:p w:rsidR="00017A8B" w:rsidRPr="00017A8B" w:rsidRDefault="00017A8B" w:rsidP="00017A8B">
      <w:pPr>
        <w:numPr>
          <w:ilvl w:val="3"/>
          <w:numId w:val="6"/>
        </w:numPr>
        <w:spacing w:before="100" w:beforeAutospacing="1" w:after="100" w:afterAutospacing="1" w:line="240" w:lineRule="auto"/>
        <w:rPr>
          <w:rFonts w:ascii="Verdana" w:eastAsia="Times New Roman" w:hAnsi="Verdana" w:cs="Times New Roman"/>
        </w:rPr>
      </w:pPr>
      <w:r w:rsidRPr="00017A8B">
        <w:rPr>
          <w:rFonts w:ascii="Verdana" w:eastAsia="Times New Roman" w:hAnsi="Verdana" w:cs="Times New Roman"/>
          <w:bCs/>
        </w:rPr>
        <w:t>Permanency goal is changed. </w:t>
      </w:r>
    </w:p>
    <w:p w:rsidR="00F74CA2" w:rsidRPr="00017A8B" w:rsidRDefault="00F74CA2" w:rsidP="00F74CA2">
      <w:pPr>
        <w:rPr>
          <w:rFonts w:ascii="Verdana" w:hAnsi="Verdana"/>
          <w:b/>
        </w:rPr>
      </w:pPr>
      <w:r w:rsidRPr="00017A8B">
        <w:rPr>
          <w:rFonts w:ascii="Verdana" w:hAnsi="Verdana"/>
          <w:b/>
        </w:rPr>
        <w:t>DCBS Behavioral Health Referral Form</w:t>
      </w:r>
    </w:p>
    <w:p w:rsidR="00F74CA2" w:rsidRPr="00017A8B" w:rsidRDefault="00F74CA2" w:rsidP="00017A8B">
      <w:pPr>
        <w:pStyle w:val="ListParagraph"/>
        <w:numPr>
          <w:ilvl w:val="0"/>
          <w:numId w:val="4"/>
        </w:numPr>
        <w:rPr>
          <w:rFonts w:ascii="Verdana" w:hAnsi="Verdana"/>
          <w:b/>
        </w:rPr>
      </w:pPr>
      <w:r w:rsidRPr="00017A8B">
        <w:rPr>
          <w:rFonts w:ascii="Verdana" w:hAnsi="Verdana"/>
          <w:b/>
        </w:rPr>
        <w:t xml:space="preserve">Comment:  </w:t>
      </w:r>
      <w:r w:rsidRPr="00017A8B">
        <w:rPr>
          <w:rFonts w:ascii="Verdana" w:hAnsi="Verdana"/>
        </w:rPr>
        <w:t>NO COMMENTS</w:t>
      </w:r>
    </w:p>
    <w:p w:rsidR="00F74CA2" w:rsidRPr="00017A8B" w:rsidRDefault="00F74CA2" w:rsidP="00F74CA2">
      <w:pPr>
        <w:pStyle w:val="ListParagraph"/>
        <w:rPr>
          <w:rFonts w:ascii="Verdana" w:hAnsi="Verdana"/>
          <w:b/>
        </w:rPr>
      </w:pPr>
    </w:p>
    <w:p w:rsidR="00F74CA2" w:rsidRPr="00017A8B" w:rsidRDefault="00F74CA2" w:rsidP="00F74CA2">
      <w:pPr>
        <w:pStyle w:val="ListParagraph"/>
        <w:ind w:left="0"/>
        <w:rPr>
          <w:rFonts w:ascii="Verdana" w:hAnsi="Verdana"/>
          <w:b/>
        </w:rPr>
      </w:pPr>
      <w:r w:rsidRPr="00017A8B">
        <w:rPr>
          <w:rFonts w:ascii="Verdana" w:hAnsi="Verdana"/>
          <w:b/>
        </w:rPr>
        <w:t xml:space="preserve">Screeners: </w:t>
      </w:r>
    </w:p>
    <w:p w:rsidR="00F74CA2" w:rsidRPr="00017A8B" w:rsidRDefault="00F74CA2" w:rsidP="00F74CA2">
      <w:pPr>
        <w:pStyle w:val="ListParagraph"/>
        <w:ind w:left="0"/>
        <w:rPr>
          <w:rFonts w:ascii="Verdana" w:hAnsi="Verdana"/>
          <w:b/>
        </w:rPr>
      </w:pPr>
    </w:p>
    <w:p w:rsidR="00427E94" w:rsidRPr="00017A8B" w:rsidRDefault="00F74CA2" w:rsidP="00017A8B">
      <w:pPr>
        <w:pStyle w:val="ListParagraph"/>
        <w:numPr>
          <w:ilvl w:val="0"/>
          <w:numId w:val="5"/>
        </w:numPr>
        <w:rPr>
          <w:rFonts w:ascii="Verdana" w:hAnsi="Verdana"/>
          <w:b/>
        </w:rPr>
      </w:pPr>
      <w:r w:rsidRPr="00017A8B">
        <w:rPr>
          <w:rFonts w:ascii="Verdana" w:hAnsi="Verdana"/>
          <w:b/>
        </w:rPr>
        <w:t xml:space="preserve">Comment:  </w:t>
      </w:r>
      <w:r w:rsidRPr="00017A8B">
        <w:rPr>
          <w:rFonts w:ascii="Verdana" w:hAnsi="Verdana"/>
        </w:rPr>
        <w:t xml:space="preserve">NO COMMENTS </w:t>
      </w:r>
      <w:r w:rsidRPr="00017A8B">
        <w:rPr>
          <w:rFonts w:ascii="Verdana" w:hAnsi="Verdana"/>
          <w:b/>
        </w:rPr>
        <w:t xml:space="preserve"> </w:t>
      </w:r>
    </w:p>
    <w:sectPr w:rsidR="00427E94" w:rsidRPr="00017A8B" w:rsidSect="00017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5B2"/>
    <w:multiLevelType w:val="hybridMultilevel"/>
    <w:tmpl w:val="1DBE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E70DF"/>
    <w:multiLevelType w:val="hybridMultilevel"/>
    <w:tmpl w:val="407C47D2"/>
    <w:lvl w:ilvl="0" w:tplc="A036E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E32F6"/>
    <w:multiLevelType w:val="multilevel"/>
    <w:tmpl w:val="6732719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62CFA"/>
    <w:multiLevelType w:val="hybridMultilevel"/>
    <w:tmpl w:val="8B78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151C2"/>
    <w:multiLevelType w:val="hybridMultilevel"/>
    <w:tmpl w:val="407C47D2"/>
    <w:lvl w:ilvl="0" w:tplc="A036E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790B02"/>
    <w:multiLevelType w:val="hybridMultilevel"/>
    <w:tmpl w:val="1DBE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7F"/>
    <w:rsid w:val="00017A8B"/>
    <w:rsid w:val="000512D3"/>
    <w:rsid w:val="00427E94"/>
    <w:rsid w:val="007C545B"/>
    <w:rsid w:val="00941E63"/>
    <w:rsid w:val="00BB447F"/>
    <w:rsid w:val="00F7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2EB"/>
  <w15:chartTrackingRefBased/>
  <w15:docId w15:val="{B581D0D3-F967-4EB6-9ABD-311C09DB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9605">
      <w:bodyDiv w:val="1"/>
      <w:marLeft w:val="0"/>
      <w:marRight w:val="0"/>
      <w:marTop w:val="0"/>
      <w:marBottom w:val="0"/>
      <w:divBdr>
        <w:top w:val="none" w:sz="0" w:space="0" w:color="auto"/>
        <w:left w:val="none" w:sz="0" w:space="0" w:color="auto"/>
        <w:bottom w:val="none" w:sz="0" w:space="0" w:color="auto"/>
        <w:right w:val="none" w:sz="0" w:space="0" w:color="auto"/>
      </w:divBdr>
      <w:divsChild>
        <w:div w:id="1534882234">
          <w:marLeft w:val="0"/>
          <w:marRight w:val="0"/>
          <w:marTop w:val="0"/>
          <w:marBottom w:val="0"/>
          <w:divBdr>
            <w:top w:val="none" w:sz="0" w:space="0" w:color="auto"/>
            <w:left w:val="none" w:sz="0" w:space="0" w:color="auto"/>
            <w:bottom w:val="none" w:sz="0" w:space="0" w:color="auto"/>
            <w:right w:val="none" w:sz="0" w:space="0" w:color="auto"/>
          </w:divBdr>
          <w:divsChild>
            <w:div w:id="1540044719">
              <w:marLeft w:val="0"/>
              <w:marRight w:val="0"/>
              <w:marTop w:val="0"/>
              <w:marBottom w:val="0"/>
              <w:divBdr>
                <w:top w:val="none" w:sz="0" w:space="0" w:color="auto"/>
                <w:left w:val="none" w:sz="0" w:space="0" w:color="auto"/>
                <w:bottom w:val="none" w:sz="0" w:space="0" w:color="auto"/>
                <w:right w:val="none" w:sz="0" w:space="0" w:color="auto"/>
              </w:divBdr>
              <w:divsChild>
                <w:div w:id="992100666">
                  <w:marLeft w:val="0"/>
                  <w:marRight w:val="0"/>
                  <w:marTop w:val="0"/>
                  <w:marBottom w:val="0"/>
                  <w:divBdr>
                    <w:top w:val="none" w:sz="0" w:space="0" w:color="auto"/>
                    <w:left w:val="none" w:sz="0" w:space="0" w:color="auto"/>
                    <w:bottom w:val="none" w:sz="0" w:space="0" w:color="auto"/>
                    <w:right w:val="none" w:sz="0" w:space="0" w:color="auto"/>
                  </w:divBdr>
                  <w:divsChild>
                    <w:div w:id="846749834">
                      <w:marLeft w:val="0"/>
                      <w:marRight w:val="0"/>
                      <w:marTop w:val="0"/>
                      <w:marBottom w:val="0"/>
                      <w:divBdr>
                        <w:top w:val="none" w:sz="0" w:space="0" w:color="auto"/>
                        <w:left w:val="none" w:sz="0" w:space="0" w:color="auto"/>
                        <w:bottom w:val="none" w:sz="0" w:space="0" w:color="auto"/>
                        <w:right w:val="none" w:sz="0" w:space="0" w:color="auto"/>
                      </w:divBdr>
                      <w:divsChild>
                        <w:div w:id="1010375129">
                          <w:marLeft w:val="0"/>
                          <w:marRight w:val="0"/>
                          <w:marTop w:val="0"/>
                          <w:marBottom w:val="0"/>
                          <w:divBdr>
                            <w:top w:val="none" w:sz="0" w:space="0" w:color="auto"/>
                            <w:left w:val="none" w:sz="0" w:space="0" w:color="auto"/>
                            <w:bottom w:val="none" w:sz="0" w:space="0" w:color="auto"/>
                            <w:right w:val="none" w:sz="0" w:space="0" w:color="auto"/>
                          </w:divBdr>
                          <w:divsChild>
                            <w:div w:id="776800782">
                              <w:marLeft w:val="0"/>
                              <w:marRight w:val="0"/>
                              <w:marTop w:val="0"/>
                              <w:marBottom w:val="0"/>
                              <w:divBdr>
                                <w:top w:val="none" w:sz="0" w:space="0" w:color="auto"/>
                                <w:left w:val="none" w:sz="0" w:space="0" w:color="auto"/>
                                <w:bottom w:val="none" w:sz="0" w:space="0" w:color="auto"/>
                                <w:right w:val="none" w:sz="0" w:space="0" w:color="auto"/>
                              </w:divBdr>
                              <w:divsChild>
                                <w:div w:id="169761539">
                                  <w:marLeft w:val="0"/>
                                  <w:marRight w:val="0"/>
                                  <w:marTop w:val="0"/>
                                  <w:marBottom w:val="0"/>
                                  <w:divBdr>
                                    <w:top w:val="none" w:sz="0" w:space="0" w:color="auto"/>
                                    <w:left w:val="none" w:sz="0" w:space="0" w:color="auto"/>
                                    <w:bottom w:val="none" w:sz="0" w:space="0" w:color="auto"/>
                                    <w:right w:val="none" w:sz="0" w:space="0" w:color="auto"/>
                                  </w:divBdr>
                                  <w:divsChild>
                                    <w:div w:id="1316374877">
                                      <w:marLeft w:val="0"/>
                                      <w:marRight w:val="0"/>
                                      <w:marTop w:val="0"/>
                                      <w:marBottom w:val="0"/>
                                      <w:divBdr>
                                        <w:top w:val="none" w:sz="0" w:space="0" w:color="auto"/>
                                        <w:left w:val="none" w:sz="0" w:space="0" w:color="auto"/>
                                        <w:bottom w:val="none" w:sz="0" w:space="0" w:color="auto"/>
                                        <w:right w:val="none" w:sz="0" w:space="0" w:color="auto"/>
                                      </w:divBdr>
                                      <w:divsChild>
                                        <w:div w:id="920257729">
                                          <w:marLeft w:val="0"/>
                                          <w:marRight w:val="0"/>
                                          <w:marTop w:val="0"/>
                                          <w:marBottom w:val="0"/>
                                          <w:divBdr>
                                            <w:top w:val="none" w:sz="0" w:space="0" w:color="auto"/>
                                            <w:left w:val="none" w:sz="0" w:space="0" w:color="auto"/>
                                            <w:bottom w:val="none" w:sz="0" w:space="0" w:color="auto"/>
                                            <w:right w:val="none" w:sz="0" w:space="0" w:color="auto"/>
                                          </w:divBdr>
                                        </w:div>
                                        <w:div w:id="1457143373">
                                          <w:marLeft w:val="0"/>
                                          <w:marRight w:val="0"/>
                                          <w:marTop w:val="0"/>
                                          <w:marBottom w:val="0"/>
                                          <w:divBdr>
                                            <w:top w:val="none" w:sz="0" w:space="0" w:color="auto"/>
                                            <w:left w:val="none" w:sz="0" w:space="0" w:color="auto"/>
                                            <w:bottom w:val="none" w:sz="0" w:space="0" w:color="auto"/>
                                            <w:right w:val="none" w:sz="0" w:space="0" w:color="auto"/>
                                          </w:divBdr>
                                        </w:div>
                                        <w:div w:id="1029644047">
                                          <w:marLeft w:val="0"/>
                                          <w:marRight w:val="0"/>
                                          <w:marTop w:val="0"/>
                                          <w:marBottom w:val="0"/>
                                          <w:divBdr>
                                            <w:top w:val="none" w:sz="0" w:space="0" w:color="auto"/>
                                            <w:left w:val="none" w:sz="0" w:space="0" w:color="auto"/>
                                            <w:bottom w:val="none" w:sz="0" w:space="0" w:color="auto"/>
                                            <w:right w:val="none" w:sz="0" w:space="0" w:color="auto"/>
                                          </w:divBdr>
                                        </w:div>
                                        <w:div w:id="247664022">
                                          <w:marLeft w:val="0"/>
                                          <w:marRight w:val="0"/>
                                          <w:marTop w:val="0"/>
                                          <w:marBottom w:val="0"/>
                                          <w:divBdr>
                                            <w:top w:val="none" w:sz="0" w:space="0" w:color="auto"/>
                                            <w:left w:val="none" w:sz="0" w:space="0" w:color="auto"/>
                                            <w:bottom w:val="none" w:sz="0" w:space="0" w:color="auto"/>
                                            <w:right w:val="none" w:sz="0" w:space="0" w:color="auto"/>
                                          </w:divBdr>
                                        </w:div>
                                        <w:div w:id="8751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232307">
      <w:bodyDiv w:val="1"/>
      <w:marLeft w:val="0"/>
      <w:marRight w:val="0"/>
      <w:marTop w:val="0"/>
      <w:marBottom w:val="0"/>
      <w:divBdr>
        <w:top w:val="none" w:sz="0" w:space="0" w:color="auto"/>
        <w:left w:val="none" w:sz="0" w:space="0" w:color="auto"/>
        <w:bottom w:val="none" w:sz="0" w:space="0" w:color="auto"/>
        <w:right w:val="none" w:sz="0" w:space="0" w:color="auto"/>
      </w:divBdr>
    </w:div>
    <w:div w:id="997003050">
      <w:bodyDiv w:val="1"/>
      <w:marLeft w:val="0"/>
      <w:marRight w:val="0"/>
      <w:marTop w:val="0"/>
      <w:marBottom w:val="0"/>
      <w:divBdr>
        <w:top w:val="none" w:sz="0" w:space="0" w:color="auto"/>
        <w:left w:val="none" w:sz="0" w:space="0" w:color="auto"/>
        <w:bottom w:val="none" w:sz="0" w:space="0" w:color="auto"/>
        <w:right w:val="none" w:sz="0" w:space="0" w:color="auto"/>
      </w:divBdr>
    </w:div>
    <w:div w:id="1904676389">
      <w:bodyDiv w:val="1"/>
      <w:marLeft w:val="0"/>
      <w:marRight w:val="0"/>
      <w:marTop w:val="0"/>
      <w:marBottom w:val="0"/>
      <w:divBdr>
        <w:top w:val="none" w:sz="0" w:space="0" w:color="auto"/>
        <w:left w:val="none" w:sz="0" w:space="0" w:color="auto"/>
        <w:bottom w:val="none" w:sz="0" w:space="0" w:color="auto"/>
        <w:right w:val="none" w:sz="0" w:space="0" w:color="auto"/>
      </w:divBdr>
    </w:div>
    <w:div w:id="20818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8EE9B642-9032-443D-B75F-B7E54663DDEB}"/>
</file>

<file path=customXml/itemProps2.xml><?xml version="1.0" encoding="utf-8"?>
<ds:datastoreItem xmlns:ds="http://schemas.openxmlformats.org/officeDocument/2006/customXml" ds:itemID="{8E48E6AD-222B-4CEF-A264-C34DB7DE0370}"/>
</file>

<file path=customXml/itemProps3.xml><?xml version="1.0" encoding="utf-8"?>
<ds:datastoreItem xmlns:ds="http://schemas.openxmlformats.org/officeDocument/2006/customXml" ds:itemID="{72A4A32A-2FDD-4AAD-A7C8-CE776ADC290D}"/>
</file>

<file path=docProps/app.xml><?xml version="1.0" encoding="utf-8"?>
<Properties xmlns="http://schemas.openxmlformats.org/officeDocument/2006/extended-properties" xmlns:vt="http://schemas.openxmlformats.org/officeDocument/2006/docPropsVTypes">
  <Template>Normal</Template>
  <TotalTime>48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20-02 Statement of Consideration Regarding SOP 4.11.1, SOP 4.26, and SOP 4.26.3</dc:title>
  <dc:subject/>
  <dc:creator>Cubert, Julie M (CHFS DCBS DPP)</dc:creator>
  <cp:keywords/>
  <dc:description/>
  <cp:lastModifiedBy>Cubert, Julie M (CHFS DCBS DPP)</cp:lastModifiedBy>
  <cp:revision>3</cp:revision>
  <dcterms:created xsi:type="dcterms:W3CDTF">2019-12-18T21:00:00Z</dcterms:created>
  <dcterms:modified xsi:type="dcterms:W3CDTF">2020-01-14T19:46:00Z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